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926" w:rsidRPr="007E3397" w:rsidRDefault="00035926" w:rsidP="00035926">
      <w:pPr>
        <w:rPr>
          <w:rFonts w:asciiTheme="majorBidi" w:hAnsiTheme="majorBidi" w:cstheme="majorBid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35926" w:rsidRPr="007E3397" w:rsidTr="00B6649A">
        <w:tc>
          <w:tcPr>
            <w:tcW w:w="4531" w:type="dxa"/>
          </w:tcPr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 xml:space="preserve">Très haut risque </w:t>
            </w:r>
          </w:p>
        </w:tc>
        <w:tc>
          <w:tcPr>
            <w:tcW w:w="4531" w:type="dxa"/>
          </w:tcPr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 xml:space="preserve">Patients atteints de Diabète </w:t>
            </w:r>
            <w:r>
              <w:rPr>
                <w:rFonts w:asciiTheme="majorBidi" w:hAnsiTheme="majorBidi" w:cstheme="majorBidi"/>
              </w:rPr>
              <w:t>sucré</w:t>
            </w:r>
            <w:r w:rsidRPr="007E3397">
              <w:rPr>
                <w:rFonts w:asciiTheme="majorBidi" w:hAnsiTheme="majorBidi" w:cstheme="majorBidi"/>
              </w:rPr>
              <w:t xml:space="preserve"> et de MCV établie</w:t>
            </w:r>
          </w:p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>Ou</w:t>
            </w:r>
            <w:r>
              <w:rPr>
                <w:rFonts w:asciiTheme="majorBidi" w:hAnsiTheme="majorBidi" w:cstheme="majorBidi"/>
              </w:rPr>
              <w:t xml:space="preserve"> atteinte </w:t>
            </w:r>
            <w:r w:rsidRPr="007E3397">
              <w:rPr>
                <w:rFonts w:asciiTheme="majorBidi" w:hAnsiTheme="majorBidi" w:cstheme="majorBidi"/>
              </w:rPr>
              <w:t>d’autre organes cibles</w:t>
            </w:r>
          </w:p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>Ou trois ou plusieurs facteurs de risque majeurs</w:t>
            </w:r>
          </w:p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>Ou diabète type 1 de longue durée (&gt; 20 ans)</w:t>
            </w:r>
          </w:p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</w:p>
        </w:tc>
      </w:tr>
      <w:tr w:rsidR="00035926" w:rsidRPr="007E3397" w:rsidTr="00B6649A">
        <w:tc>
          <w:tcPr>
            <w:tcW w:w="4531" w:type="dxa"/>
          </w:tcPr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 xml:space="preserve">Haut risque </w:t>
            </w:r>
          </w:p>
        </w:tc>
        <w:tc>
          <w:tcPr>
            <w:tcW w:w="4531" w:type="dxa"/>
          </w:tcPr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>Patients avec durée Diabète &gt; _10 ans sans atteinte d’autres organes cibles  et tout autre facteur de risque supplémentaire</w:t>
            </w:r>
          </w:p>
        </w:tc>
      </w:tr>
      <w:tr w:rsidR="00035926" w:rsidRPr="007E3397" w:rsidTr="00B6649A">
        <w:tc>
          <w:tcPr>
            <w:tcW w:w="4531" w:type="dxa"/>
          </w:tcPr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 xml:space="preserve">Risque modéré </w:t>
            </w:r>
          </w:p>
        </w:tc>
        <w:tc>
          <w:tcPr>
            <w:tcW w:w="4531" w:type="dxa"/>
          </w:tcPr>
          <w:p w:rsidR="00035926" w:rsidRPr="007E3397" w:rsidRDefault="00035926" w:rsidP="00B6649A">
            <w:pPr>
              <w:rPr>
                <w:rFonts w:asciiTheme="majorBidi" w:hAnsiTheme="majorBidi" w:cstheme="majorBidi"/>
              </w:rPr>
            </w:pPr>
            <w:r w:rsidRPr="007E3397">
              <w:rPr>
                <w:rFonts w:asciiTheme="majorBidi" w:hAnsiTheme="majorBidi" w:cstheme="majorBidi"/>
              </w:rPr>
              <w:t>Jeunes patients (diabète type 1  âgé &lt;35 ans ou diabète type 2 âge &lt;50 ans) avec une durée de diabète sucre  &lt;10 ans, sans autres facteurs de risque</w:t>
            </w:r>
          </w:p>
        </w:tc>
      </w:tr>
    </w:tbl>
    <w:p w:rsidR="00F05846" w:rsidRDefault="00F05846">
      <w:bookmarkStart w:id="0" w:name="_GoBack"/>
      <w:bookmarkEnd w:id="0"/>
    </w:p>
    <w:sectPr w:rsidR="00F05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F8"/>
    <w:rsid w:val="00035926"/>
    <w:rsid w:val="007B77F8"/>
    <w:rsid w:val="00F0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A98790-26A4-4C47-AF71-013374A89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592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5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429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2020-08-09T13:31:00Z</dcterms:created>
  <dcterms:modified xsi:type="dcterms:W3CDTF">2020-08-09T13:31:00Z</dcterms:modified>
</cp:coreProperties>
</file>