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4106"/>
        <w:gridCol w:w="4956"/>
      </w:tblGrid>
      <w:tr w:rsidR="00BE4D2D" w:rsidRPr="00FD6E09" w:rsidTr="00B6649A">
        <w:tc>
          <w:tcPr>
            <w:tcW w:w="4106" w:type="dxa"/>
          </w:tcPr>
          <w:p w:rsidR="00BE4D2D" w:rsidRPr="00FD6E09" w:rsidRDefault="00BE4D2D" w:rsidP="00B6649A">
            <w:pPr>
              <w:rPr>
                <w:rFonts w:asciiTheme="majorBidi" w:hAnsiTheme="majorBidi" w:cstheme="majorBidi"/>
              </w:rPr>
            </w:pPr>
            <w:proofErr w:type="spellStart"/>
            <w:r w:rsidRPr="00FD6E09">
              <w:rPr>
                <w:rFonts w:asciiTheme="majorBidi" w:hAnsiTheme="majorBidi" w:cstheme="majorBidi"/>
              </w:rPr>
              <w:t>Alfediam</w:t>
            </w:r>
            <w:proofErr w:type="spellEnd"/>
            <w:r w:rsidRPr="00FD6E09">
              <w:rPr>
                <w:rFonts w:asciiTheme="majorBidi" w:hAnsiTheme="majorBidi" w:cstheme="majorBidi"/>
              </w:rPr>
              <w:t xml:space="preserve"> 1995 </w:t>
            </w:r>
          </w:p>
          <w:p w:rsidR="00BE4D2D" w:rsidRPr="00FD6E09" w:rsidRDefault="00BE4D2D" w:rsidP="00B6649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4956" w:type="dxa"/>
          </w:tcPr>
          <w:p w:rsidR="00BE4D2D" w:rsidRPr="00FD6E09" w:rsidRDefault="00BE4D2D" w:rsidP="00B6649A">
            <w:pPr>
              <w:rPr>
                <w:rFonts w:asciiTheme="majorBidi" w:hAnsiTheme="majorBidi" w:cstheme="majorBidi"/>
              </w:rPr>
            </w:pPr>
            <w:r w:rsidRPr="00FD6E09">
              <w:rPr>
                <w:rFonts w:asciiTheme="majorBidi" w:hAnsiTheme="majorBidi" w:cstheme="majorBidi"/>
              </w:rPr>
              <w:t>- Au moins 1 facteur de risque</w:t>
            </w:r>
          </w:p>
          <w:p w:rsidR="00BE4D2D" w:rsidRPr="00FD6E09" w:rsidRDefault="00BE4D2D" w:rsidP="00B6649A">
            <w:pPr>
              <w:rPr>
                <w:rFonts w:asciiTheme="majorBidi" w:hAnsiTheme="majorBidi" w:cstheme="majorBidi"/>
              </w:rPr>
            </w:pPr>
            <w:r w:rsidRPr="00FD6E09">
              <w:rPr>
                <w:rFonts w:asciiTheme="majorBidi" w:hAnsiTheme="majorBidi" w:cstheme="majorBidi"/>
              </w:rPr>
              <w:t>- Protéinurie supérieure à 0,2 g/24 h</w:t>
            </w:r>
          </w:p>
          <w:p w:rsidR="00BE4D2D" w:rsidRPr="00FD6E09" w:rsidRDefault="00BE4D2D" w:rsidP="00B6649A">
            <w:pPr>
              <w:rPr>
                <w:rFonts w:asciiTheme="majorBidi" w:hAnsiTheme="majorBidi" w:cstheme="majorBidi"/>
              </w:rPr>
            </w:pPr>
            <w:r w:rsidRPr="00FD6E09">
              <w:rPr>
                <w:rFonts w:asciiTheme="majorBidi" w:hAnsiTheme="majorBidi" w:cstheme="majorBidi"/>
              </w:rPr>
              <w:t>- Artériopathie (MI ou carotide)</w:t>
            </w:r>
          </w:p>
        </w:tc>
      </w:tr>
      <w:tr w:rsidR="00BE4D2D" w:rsidRPr="00FD6E09" w:rsidTr="00B6649A">
        <w:tc>
          <w:tcPr>
            <w:tcW w:w="4106" w:type="dxa"/>
          </w:tcPr>
          <w:p w:rsidR="00BE4D2D" w:rsidRPr="00FD6E09" w:rsidRDefault="00BE4D2D" w:rsidP="00B6649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45"/>
              <w:gridCol w:w="222"/>
              <w:gridCol w:w="222"/>
            </w:tblGrid>
            <w:tr w:rsidR="00BE4D2D" w:rsidRPr="00FD6E09" w:rsidTr="00B6649A">
              <w:trPr>
                <w:trHeight w:val="104"/>
              </w:trPr>
              <w:tc>
                <w:tcPr>
                  <w:tcW w:w="0" w:type="auto"/>
                </w:tcPr>
                <w:p w:rsidR="00BE4D2D" w:rsidRPr="00FD6E09" w:rsidRDefault="00BE4D2D" w:rsidP="00B6649A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asciiTheme="majorBidi" w:hAnsiTheme="majorBidi" w:cstheme="majorBidi"/>
                      <w:color w:val="000000"/>
                    </w:rPr>
                  </w:pPr>
                  <w:r w:rsidRPr="00FD6E09">
                    <w:rPr>
                      <w:rFonts w:asciiTheme="majorBidi" w:hAnsiTheme="majorBidi" w:cstheme="majorBidi"/>
                      <w:color w:val="000000"/>
                    </w:rPr>
                    <w:t xml:space="preserve">ANAES 1999 </w:t>
                  </w:r>
                </w:p>
              </w:tc>
              <w:tc>
                <w:tcPr>
                  <w:tcW w:w="0" w:type="auto"/>
                </w:tcPr>
                <w:p w:rsidR="00BE4D2D" w:rsidRPr="00FD6E09" w:rsidRDefault="00BE4D2D" w:rsidP="00B6649A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asciiTheme="majorBidi" w:hAnsiTheme="majorBidi" w:cstheme="majorBidi"/>
                      <w:color w:val="000000"/>
                    </w:rPr>
                  </w:pPr>
                </w:p>
              </w:tc>
              <w:tc>
                <w:tcPr>
                  <w:tcW w:w="0" w:type="auto"/>
                </w:tcPr>
                <w:p w:rsidR="00BE4D2D" w:rsidRPr="00FD6E09" w:rsidRDefault="00BE4D2D" w:rsidP="00B6649A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asciiTheme="majorBidi" w:hAnsiTheme="majorBidi" w:cstheme="majorBidi"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BE4D2D" w:rsidRPr="00FD6E09" w:rsidRDefault="00BE4D2D" w:rsidP="00B6649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4956" w:type="dxa"/>
          </w:tcPr>
          <w:p w:rsidR="00BE4D2D" w:rsidRPr="00FD6E09" w:rsidRDefault="00BE4D2D" w:rsidP="00B6649A">
            <w:pPr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</w:p>
          <w:p w:rsidR="00BE4D2D" w:rsidRPr="00FD6E09" w:rsidRDefault="00BE4D2D" w:rsidP="00B6649A">
            <w:pPr>
              <w:rPr>
                <w:rFonts w:asciiTheme="majorBidi" w:hAnsiTheme="majorBidi" w:cstheme="majorBidi"/>
              </w:rPr>
            </w:pPr>
            <w:r w:rsidRPr="00FD6E09">
              <w:rPr>
                <w:rFonts w:asciiTheme="majorBidi" w:hAnsiTheme="majorBidi" w:cstheme="majorBidi"/>
                <w:color w:val="000000"/>
              </w:rPr>
              <w:t>- ECG de repos anormal (bilan annuel)</w:t>
            </w:r>
          </w:p>
        </w:tc>
      </w:tr>
      <w:tr w:rsidR="00BE4D2D" w:rsidRPr="00FD6E09" w:rsidTr="00B6649A">
        <w:tc>
          <w:tcPr>
            <w:tcW w:w="4106" w:type="dxa"/>
          </w:tcPr>
          <w:p w:rsidR="00BE4D2D" w:rsidRPr="00FD6E09" w:rsidRDefault="00BE4D2D" w:rsidP="00B6649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007"/>
            </w:tblGrid>
            <w:tr w:rsidR="00BE4D2D" w:rsidRPr="00FD6E09" w:rsidTr="00B6649A">
              <w:trPr>
                <w:trHeight w:val="94"/>
              </w:trPr>
              <w:tc>
                <w:tcPr>
                  <w:tcW w:w="0" w:type="auto"/>
                </w:tcPr>
                <w:p w:rsidR="00BE4D2D" w:rsidRPr="00FD6E09" w:rsidRDefault="00BE4D2D" w:rsidP="00B6649A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asciiTheme="majorBidi" w:hAnsiTheme="majorBidi" w:cstheme="majorBidi"/>
                      <w:color w:val="000000"/>
                    </w:rPr>
                  </w:pPr>
                  <w:r w:rsidRPr="00FD6E09">
                    <w:rPr>
                      <w:rFonts w:asciiTheme="majorBidi" w:hAnsiTheme="majorBidi" w:cstheme="majorBidi"/>
                      <w:color w:val="000000"/>
                    </w:rPr>
                    <w:t>SFC-</w:t>
                  </w:r>
                  <w:proofErr w:type="spellStart"/>
                  <w:r w:rsidRPr="00FD6E09">
                    <w:rPr>
                      <w:rFonts w:asciiTheme="majorBidi" w:hAnsiTheme="majorBidi" w:cstheme="majorBidi"/>
                      <w:color w:val="000000"/>
                    </w:rPr>
                    <w:t>Alfediam</w:t>
                  </w:r>
                  <w:proofErr w:type="spellEnd"/>
                  <w:r w:rsidRPr="00FD6E09">
                    <w:rPr>
                      <w:rFonts w:asciiTheme="majorBidi" w:hAnsiTheme="majorBidi" w:cstheme="majorBidi"/>
                      <w:color w:val="000000"/>
                    </w:rPr>
                    <w:t xml:space="preserve"> 2004 </w:t>
                  </w:r>
                </w:p>
              </w:tc>
            </w:tr>
          </w:tbl>
          <w:p w:rsidR="00BE4D2D" w:rsidRPr="00FD6E09" w:rsidRDefault="00BE4D2D" w:rsidP="00B6649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4956" w:type="dxa"/>
          </w:tcPr>
          <w:p w:rsidR="00BE4D2D" w:rsidRPr="00FD6E09" w:rsidRDefault="00BE4D2D" w:rsidP="00B6649A">
            <w:pPr>
              <w:autoSpaceDE w:val="0"/>
              <w:autoSpaceDN w:val="0"/>
              <w:adjustRightInd w:val="0"/>
              <w:rPr>
                <w:rFonts w:asciiTheme="majorBidi" w:eastAsia="ITC Zapf Dingbats Std" w:hAnsiTheme="majorBidi" w:cstheme="majorBidi"/>
                <w:color w:val="000000"/>
                <w:sz w:val="24"/>
                <w:szCs w:val="24"/>
              </w:rPr>
            </w:pPr>
          </w:p>
          <w:tbl>
            <w:tblPr>
              <w:tblW w:w="4405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405"/>
            </w:tblGrid>
            <w:tr w:rsidR="00BE4D2D" w:rsidRPr="00FD6E09" w:rsidTr="00B6649A">
              <w:trPr>
                <w:trHeight w:val="1015"/>
              </w:trPr>
              <w:tc>
                <w:tcPr>
                  <w:tcW w:w="0" w:type="auto"/>
                </w:tcPr>
                <w:p w:rsidR="00BE4D2D" w:rsidRPr="00FD6E09" w:rsidRDefault="00BE4D2D" w:rsidP="00B6649A">
                  <w:pPr>
                    <w:autoSpaceDE w:val="0"/>
                    <w:autoSpaceDN w:val="0"/>
                    <w:adjustRightInd w:val="0"/>
                    <w:spacing w:after="40" w:line="161" w:lineRule="atLeast"/>
                    <w:rPr>
                      <w:rFonts w:asciiTheme="majorBidi" w:eastAsia="ITC Zapf Dingbats Std" w:hAnsiTheme="majorBidi" w:cstheme="majorBidi"/>
                      <w:color w:val="000000"/>
                    </w:rPr>
                  </w:pPr>
                  <w:r w:rsidRPr="00FD6E09">
                    <w:rPr>
                      <w:rFonts w:asciiTheme="majorBidi" w:eastAsia="ITC Zapf Dingbats Std" w:hAnsiTheme="majorBidi" w:cstheme="majorBidi"/>
                      <w:color w:val="000000"/>
                    </w:rPr>
                    <w:t xml:space="preserve">-Diabète type 2 connu depuis plus de 10 ans, patient âgé de plus de 60 ans, au moins 2 facteurs de risque </w:t>
                  </w:r>
                </w:p>
                <w:p w:rsidR="00BE4D2D" w:rsidRPr="00FD6E09" w:rsidRDefault="00BE4D2D" w:rsidP="00B6649A">
                  <w:pPr>
                    <w:autoSpaceDE w:val="0"/>
                    <w:autoSpaceDN w:val="0"/>
                    <w:adjustRightInd w:val="0"/>
                    <w:spacing w:after="40" w:line="161" w:lineRule="atLeast"/>
                    <w:rPr>
                      <w:rFonts w:asciiTheme="majorBidi" w:eastAsia="ITC Zapf Dingbats Std" w:hAnsiTheme="majorBidi" w:cstheme="majorBidi"/>
                      <w:color w:val="000000"/>
                    </w:rPr>
                  </w:pPr>
                  <w:r w:rsidRPr="00FD6E09">
                    <w:rPr>
                      <w:rFonts w:asciiTheme="majorBidi" w:eastAsia="ITC Zapf Dingbats Std" w:hAnsiTheme="majorBidi" w:cstheme="majorBidi"/>
                      <w:color w:val="000000"/>
                    </w:rPr>
                    <w:t xml:space="preserve">- Diabète type 1 connu depuis plus de 15 ans, patient âgé de plus de 45 ans, au moins 2 facteurs de risque </w:t>
                  </w:r>
                </w:p>
                <w:p w:rsidR="00BE4D2D" w:rsidRPr="00FD6E09" w:rsidRDefault="00BE4D2D" w:rsidP="00B6649A">
                  <w:pPr>
                    <w:autoSpaceDE w:val="0"/>
                    <w:autoSpaceDN w:val="0"/>
                    <w:adjustRightInd w:val="0"/>
                    <w:spacing w:after="40" w:line="161" w:lineRule="atLeast"/>
                    <w:rPr>
                      <w:rFonts w:asciiTheme="majorBidi" w:eastAsia="ITC Zapf Dingbats Std" w:hAnsiTheme="majorBidi" w:cstheme="majorBidi"/>
                      <w:color w:val="000000"/>
                    </w:rPr>
                  </w:pPr>
                  <w:r w:rsidRPr="00FD6E09">
                    <w:rPr>
                      <w:rFonts w:asciiTheme="majorBidi" w:eastAsia="ITC Zapf Dingbats Std" w:hAnsiTheme="majorBidi" w:cstheme="majorBidi"/>
                      <w:color w:val="000000"/>
                    </w:rPr>
                    <w:t xml:space="preserve">-Diabète type 1 ou 2, avec artériopathie (MI ou carotide) ou protéinurie </w:t>
                  </w:r>
                </w:p>
                <w:p w:rsidR="00BE4D2D" w:rsidRPr="00FD6E09" w:rsidRDefault="00BE4D2D" w:rsidP="00B6649A">
                  <w:pPr>
                    <w:autoSpaceDE w:val="0"/>
                    <w:autoSpaceDN w:val="0"/>
                    <w:adjustRightInd w:val="0"/>
                    <w:spacing w:after="40" w:line="161" w:lineRule="atLeast"/>
                    <w:rPr>
                      <w:rFonts w:asciiTheme="majorBidi" w:eastAsia="ITC Zapf Dingbats Std" w:hAnsiTheme="majorBidi" w:cstheme="majorBidi"/>
                      <w:color w:val="000000"/>
                    </w:rPr>
                  </w:pPr>
                  <w:r w:rsidRPr="00FD6E09">
                    <w:rPr>
                      <w:rFonts w:asciiTheme="majorBidi" w:eastAsia="ITC Zapf Dingbats Std" w:hAnsiTheme="majorBidi" w:cstheme="majorBidi"/>
                      <w:color w:val="000000"/>
                    </w:rPr>
                    <w:t xml:space="preserve">- Diabète type 1 ou 2, au moins 2 autres facteurs de risque et micro-albuminurie </w:t>
                  </w:r>
                </w:p>
                <w:p w:rsidR="00BE4D2D" w:rsidRPr="00FD6E09" w:rsidRDefault="00BE4D2D" w:rsidP="00B6649A">
                  <w:pPr>
                    <w:autoSpaceDE w:val="0"/>
                    <w:autoSpaceDN w:val="0"/>
                    <w:adjustRightInd w:val="0"/>
                    <w:spacing w:after="40" w:line="161" w:lineRule="atLeast"/>
                    <w:rPr>
                      <w:rFonts w:asciiTheme="majorBidi" w:eastAsia="ITC Zapf Dingbats Std" w:hAnsiTheme="majorBidi" w:cstheme="majorBidi"/>
                      <w:color w:val="000000"/>
                      <w:sz w:val="16"/>
                      <w:szCs w:val="16"/>
                    </w:rPr>
                  </w:pPr>
                  <w:r w:rsidRPr="00FD6E09">
                    <w:rPr>
                      <w:rFonts w:asciiTheme="majorBidi" w:eastAsia="ITC Zapf Dingbats Std" w:hAnsiTheme="majorBidi" w:cstheme="majorBidi"/>
                      <w:color w:val="000000"/>
                    </w:rPr>
                    <w:t>- Reprise d’une activité sportive par un patient diabétique sédentaire âgé de plus de 45 ans</w:t>
                  </w:r>
                  <w:r w:rsidRPr="00FD6E09">
                    <w:rPr>
                      <w:rFonts w:asciiTheme="majorBidi" w:eastAsia="ITC Zapf Dingbats Std" w:hAnsiTheme="majorBidi" w:cstheme="majorBidi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:rsidR="00BE4D2D" w:rsidRPr="00FD6E09" w:rsidRDefault="00BE4D2D" w:rsidP="00B6649A">
            <w:pPr>
              <w:rPr>
                <w:rFonts w:asciiTheme="majorBidi" w:hAnsiTheme="majorBidi" w:cstheme="majorBidi"/>
              </w:rPr>
            </w:pPr>
          </w:p>
        </w:tc>
      </w:tr>
      <w:tr w:rsidR="00BE4D2D" w:rsidRPr="00FD6E09" w:rsidTr="00B6649A">
        <w:tc>
          <w:tcPr>
            <w:tcW w:w="4106" w:type="dxa"/>
          </w:tcPr>
          <w:p w:rsidR="00BE4D2D" w:rsidRPr="00FD6E09" w:rsidRDefault="00BE4D2D" w:rsidP="00B6649A">
            <w:pPr>
              <w:autoSpaceDE w:val="0"/>
              <w:autoSpaceDN w:val="0"/>
              <w:adjustRightInd w:val="0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88"/>
            </w:tblGrid>
            <w:tr w:rsidR="00BE4D2D" w:rsidRPr="00FD6E09" w:rsidTr="00B6649A">
              <w:trPr>
                <w:trHeight w:val="94"/>
              </w:trPr>
              <w:tc>
                <w:tcPr>
                  <w:tcW w:w="0" w:type="auto"/>
                </w:tcPr>
                <w:p w:rsidR="00BE4D2D" w:rsidRPr="00FD6E09" w:rsidRDefault="00BE4D2D" w:rsidP="00B6649A">
                  <w:pPr>
                    <w:autoSpaceDE w:val="0"/>
                    <w:autoSpaceDN w:val="0"/>
                    <w:adjustRightInd w:val="0"/>
                    <w:spacing w:after="0" w:line="161" w:lineRule="atLeast"/>
                    <w:rPr>
                      <w:rFonts w:asciiTheme="majorBidi" w:hAnsiTheme="majorBidi" w:cstheme="majorBidi"/>
                      <w:color w:val="000000"/>
                    </w:rPr>
                  </w:pPr>
                  <w:r w:rsidRPr="00FD6E09">
                    <w:rPr>
                      <w:rFonts w:asciiTheme="majorBidi" w:hAnsiTheme="majorBidi" w:cstheme="majorBidi"/>
                      <w:color w:val="000000"/>
                    </w:rPr>
                    <w:t xml:space="preserve">ADA 2007 </w:t>
                  </w:r>
                </w:p>
              </w:tc>
            </w:tr>
          </w:tbl>
          <w:p w:rsidR="00BE4D2D" w:rsidRPr="00FD6E09" w:rsidRDefault="00BE4D2D" w:rsidP="00B6649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4956" w:type="dxa"/>
          </w:tcPr>
          <w:p w:rsidR="00BE4D2D" w:rsidRPr="00FD6E09" w:rsidRDefault="00BE4D2D" w:rsidP="00B6649A">
            <w:pPr>
              <w:autoSpaceDE w:val="0"/>
              <w:autoSpaceDN w:val="0"/>
              <w:adjustRightInd w:val="0"/>
              <w:rPr>
                <w:rFonts w:asciiTheme="majorBidi" w:eastAsia="ITC Zapf Dingbats Std" w:hAnsiTheme="majorBidi" w:cstheme="majorBidi"/>
                <w:color w:val="000000"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740"/>
            </w:tblGrid>
            <w:tr w:rsidR="00BE4D2D" w:rsidRPr="00FD6E09" w:rsidTr="00B6649A">
              <w:trPr>
                <w:trHeight w:val="439"/>
              </w:trPr>
              <w:tc>
                <w:tcPr>
                  <w:tcW w:w="0" w:type="auto"/>
                </w:tcPr>
                <w:p w:rsidR="00BE4D2D" w:rsidRPr="00FD6E09" w:rsidRDefault="00BE4D2D" w:rsidP="00B6649A">
                  <w:pPr>
                    <w:autoSpaceDE w:val="0"/>
                    <w:autoSpaceDN w:val="0"/>
                    <w:adjustRightInd w:val="0"/>
                    <w:spacing w:after="40" w:line="161" w:lineRule="atLeast"/>
                    <w:rPr>
                      <w:rFonts w:asciiTheme="majorBidi" w:eastAsia="ITC Zapf Dingbats Std" w:hAnsiTheme="majorBidi" w:cstheme="majorBidi"/>
                      <w:color w:val="000000"/>
                    </w:rPr>
                  </w:pPr>
                  <w:r w:rsidRPr="00FD6E09">
                    <w:rPr>
                      <w:rFonts w:asciiTheme="majorBidi" w:eastAsia="ITC Zapf Dingbats Std" w:hAnsiTheme="majorBidi" w:cstheme="majorBidi"/>
                      <w:color w:val="000000"/>
                    </w:rPr>
                    <w:t xml:space="preserve">- Facteurs de risque non contrôlés </w:t>
                  </w:r>
                </w:p>
                <w:p w:rsidR="00BE4D2D" w:rsidRPr="00FD6E09" w:rsidRDefault="00BE4D2D" w:rsidP="00B6649A">
                  <w:pPr>
                    <w:autoSpaceDE w:val="0"/>
                    <w:autoSpaceDN w:val="0"/>
                    <w:adjustRightInd w:val="0"/>
                    <w:spacing w:after="40" w:line="161" w:lineRule="atLeast"/>
                    <w:rPr>
                      <w:rFonts w:asciiTheme="majorBidi" w:eastAsia="ITC Zapf Dingbats Std" w:hAnsiTheme="majorBidi" w:cstheme="majorBidi"/>
                      <w:color w:val="000000"/>
                    </w:rPr>
                  </w:pPr>
                  <w:r w:rsidRPr="00FD6E09">
                    <w:rPr>
                      <w:rFonts w:asciiTheme="majorBidi" w:eastAsia="ITC Zapf Dingbats Std" w:hAnsiTheme="majorBidi" w:cstheme="majorBidi"/>
                      <w:color w:val="000000"/>
                    </w:rPr>
                    <w:t xml:space="preserve">- Artériopathie (MI ou carotide) </w:t>
                  </w:r>
                </w:p>
                <w:p w:rsidR="00BE4D2D" w:rsidRPr="00FD6E09" w:rsidRDefault="00BE4D2D" w:rsidP="00B6649A">
                  <w:pPr>
                    <w:autoSpaceDE w:val="0"/>
                    <w:autoSpaceDN w:val="0"/>
                    <w:adjustRightInd w:val="0"/>
                    <w:spacing w:after="40" w:line="161" w:lineRule="atLeast"/>
                    <w:rPr>
                      <w:rFonts w:asciiTheme="majorBidi" w:eastAsia="ITC Zapf Dingbats Std" w:hAnsiTheme="majorBidi" w:cstheme="majorBidi"/>
                      <w:color w:val="000000"/>
                      <w:sz w:val="16"/>
                      <w:szCs w:val="16"/>
                    </w:rPr>
                  </w:pPr>
                  <w:r w:rsidRPr="00FD6E09">
                    <w:rPr>
                      <w:rFonts w:asciiTheme="majorBidi" w:eastAsia="ITC Zapf Dingbats Std" w:hAnsiTheme="majorBidi" w:cstheme="majorBidi"/>
                      <w:color w:val="000000"/>
                    </w:rPr>
                    <w:t>-Patient âgé de plus de 35 ans et reprise d’une activité physique soutenue</w:t>
                  </w:r>
                  <w:r w:rsidRPr="00FD6E09">
                    <w:rPr>
                      <w:rFonts w:asciiTheme="majorBidi" w:eastAsia="ITC Zapf Dingbats Std" w:hAnsiTheme="majorBidi" w:cstheme="majorBidi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:rsidR="00BE4D2D" w:rsidRPr="00FD6E09" w:rsidRDefault="00BE4D2D" w:rsidP="00B6649A">
            <w:pPr>
              <w:rPr>
                <w:rFonts w:asciiTheme="majorBidi" w:hAnsiTheme="majorBidi" w:cstheme="majorBidi"/>
              </w:rPr>
            </w:pPr>
          </w:p>
        </w:tc>
        <w:bookmarkStart w:id="0" w:name="_GoBack"/>
        <w:bookmarkEnd w:id="0"/>
      </w:tr>
      <w:tr w:rsidR="00BE4D2D" w:rsidRPr="00FD6E09" w:rsidTr="00B6649A">
        <w:tc>
          <w:tcPr>
            <w:tcW w:w="4106" w:type="dxa"/>
          </w:tcPr>
          <w:p w:rsidR="00BE4D2D" w:rsidRPr="00FD6E09" w:rsidRDefault="00BE4D2D" w:rsidP="00B6649A">
            <w:pPr>
              <w:rPr>
                <w:rFonts w:asciiTheme="majorBidi" w:hAnsiTheme="majorBidi" w:cstheme="majorBidi"/>
              </w:rPr>
            </w:pPr>
            <w:r w:rsidRPr="00FD6E09">
              <w:rPr>
                <w:rFonts w:asciiTheme="majorBidi" w:hAnsiTheme="majorBidi" w:cstheme="majorBidi"/>
              </w:rPr>
              <w:t>ACC/AHA 2010</w:t>
            </w:r>
          </w:p>
        </w:tc>
        <w:tc>
          <w:tcPr>
            <w:tcW w:w="4956" w:type="dxa"/>
          </w:tcPr>
          <w:p w:rsidR="00BE4D2D" w:rsidRPr="00FD6E09" w:rsidRDefault="00BE4D2D" w:rsidP="00B6649A">
            <w:pPr>
              <w:rPr>
                <w:rFonts w:asciiTheme="majorBidi" w:hAnsiTheme="majorBidi" w:cstheme="majorBidi"/>
              </w:rPr>
            </w:pPr>
            <w:r w:rsidRPr="00FD6E09">
              <w:rPr>
                <w:rFonts w:asciiTheme="majorBidi" w:hAnsiTheme="majorBidi" w:cstheme="majorBidi"/>
              </w:rPr>
              <w:t xml:space="preserve">-Quantification du calcium coronaire (score calcique) par scanner thoracique raisonnable pour évaluer le risque CV si le patient est âgé de plus de 40 ans (classe </w:t>
            </w:r>
            <w:proofErr w:type="spellStart"/>
            <w:r w:rsidRPr="00FD6E09">
              <w:rPr>
                <w:rFonts w:asciiTheme="majorBidi" w:hAnsiTheme="majorBidi" w:cstheme="majorBidi"/>
              </w:rPr>
              <w:t>IIa</w:t>
            </w:r>
            <w:proofErr w:type="spellEnd"/>
            <w:r w:rsidRPr="00FD6E09">
              <w:rPr>
                <w:rFonts w:asciiTheme="majorBidi" w:hAnsiTheme="majorBidi" w:cstheme="majorBidi"/>
              </w:rPr>
              <w:t>, niveau B)</w:t>
            </w:r>
          </w:p>
          <w:p w:rsidR="00BE4D2D" w:rsidRPr="00FD6E09" w:rsidRDefault="00BE4D2D" w:rsidP="00B6649A">
            <w:pPr>
              <w:rPr>
                <w:rFonts w:asciiTheme="majorBidi" w:hAnsiTheme="majorBidi" w:cstheme="majorBidi"/>
              </w:rPr>
            </w:pPr>
            <w:r w:rsidRPr="00FD6E09">
              <w:rPr>
                <w:rFonts w:asciiTheme="majorBidi" w:hAnsiTheme="majorBidi" w:cstheme="majorBidi"/>
              </w:rPr>
              <w:t xml:space="preserve">- Scintigraphie myocardique de stress si risque CV élevé (comme score calcique supérieur à 400) [classe </w:t>
            </w:r>
            <w:proofErr w:type="spellStart"/>
            <w:r w:rsidRPr="00FD6E09">
              <w:rPr>
                <w:rFonts w:asciiTheme="majorBidi" w:hAnsiTheme="majorBidi" w:cstheme="majorBidi"/>
              </w:rPr>
              <w:t>IIb</w:t>
            </w:r>
            <w:proofErr w:type="spellEnd"/>
            <w:r w:rsidRPr="00FD6E09">
              <w:rPr>
                <w:rFonts w:asciiTheme="majorBidi" w:hAnsiTheme="majorBidi" w:cstheme="majorBidi"/>
              </w:rPr>
              <w:t>, niveau C]</w:t>
            </w:r>
          </w:p>
        </w:tc>
      </w:tr>
      <w:tr w:rsidR="00BE4D2D" w:rsidRPr="00FD6E09" w:rsidTr="00B6649A">
        <w:tc>
          <w:tcPr>
            <w:tcW w:w="4106" w:type="dxa"/>
          </w:tcPr>
          <w:p w:rsidR="00BE4D2D" w:rsidRPr="00FD6E09" w:rsidRDefault="00BE4D2D" w:rsidP="00B6649A">
            <w:pPr>
              <w:rPr>
                <w:rFonts w:asciiTheme="majorBidi" w:hAnsiTheme="majorBidi" w:cstheme="majorBidi"/>
              </w:rPr>
            </w:pPr>
            <w:r w:rsidRPr="00FD6E09">
              <w:rPr>
                <w:rFonts w:asciiTheme="majorBidi" w:hAnsiTheme="majorBidi" w:cstheme="majorBidi"/>
              </w:rPr>
              <w:t xml:space="preserve"> ADA 2012</w:t>
            </w:r>
          </w:p>
        </w:tc>
        <w:tc>
          <w:tcPr>
            <w:tcW w:w="4956" w:type="dxa"/>
          </w:tcPr>
          <w:p w:rsidR="00BE4D2D" w:rsidRPr="00FD6E09" w:rsidRDefault="00BE4D2D" w:rsidP="00B6649A">
            <w:pPr>
              <w:rPr>
                <w:rFonts w:asciiTheme="majorBidi" w:hAnsiTheme="majorBidi" w:cstheme="majorBidi"/>
              </w:rPr>
            </w:pPr>
            <w:r w:rsidRPr="00FD6E09">
              <w:rPr>
                <w:rFonts w:asciiTheme="majorBidi" w:hAnsiTheme="majorBidi" w:cstheme="majorBidi"/>
              </w:rPr>
              <w:t>-Diabétiques avec symptômes typiques ou atypiques</w:t>
            </w:r>
            <w:r w:rsidRPr="00FD6E09">
              <w:rPr>
                <w:rFonts w:asciiTheme="majorBidi" w:hAnsiTheme="majorBidi" w:cstheme="majorBidi"/>
              </w:rPr>
              <w:tab/>
              <w:t>-ECG anormal</w:t>
            </w:r>
          </w:p>
        </w:tc>
      </w:tr>
    </w:tbl>
    <w:p w:rsidR="00F05846" w:rsidRDefault="00F05846"/>
    <w:sectPr w:rsidR="00F058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ITC Zapf Dingbats Std">
    <w:altName w:val="ITC Zapf Dingbats Std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01D"/>
    <w:rsid w:val="0000401D"/>
    <w:rsid w:val="00BE4D2D"/>
    <w:rsid w:val="00F05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251F10-EA2D-41C9-8AFB-D5949A159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4D2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Grilledutableau1">
    <w:name w:val="Grille du tableau1"/>
    <w:basedOn w:val="TableauNormal"/>
    <w:next w:val="Grilledutableau"/>
    <w:uiPriority w:val="39"/>
    <w:rsid w:val="00BE4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BE4D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2020-08-09T13:30:00Z</dcterms:created>
  <dcterms:modified xsi:type="dcterms:W3CDTF">2020-08-09T13:30:00Z</dcterms:modified>
</cp:coreProperties>
</file>